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68CC6C" w14:textId="618EAE5E" w:rsidR="00EA0F66" w:rsidRDefault="00F317AF" w:rsidP="00EA0F66">
      <w:pPr>
        <w:jc w:val="center"/>
        <w:rPr>
          <w:i/>
          <w:iCs/>
          <w:u w:val="single"/>
        </w:rPr>
      </w:pPr>
      <w:r>
        <w:rPr>
          <w:u w:val="single"/>
        </w:rPr>
        <w:t xml:space="preserve">One exercise I always return to: </w:t>
      </w:r>
      <w:r w:rsidR="00EA0F66" w:rsidRPr="00EA0F66">
        <w:rPr>
          <w:u w:val="single"/>
        </w:rPr>
        <w:t xml:space="preserve">The </w:t>
      </w:r>
      <w:r w:rsidR="00EA0F66" w:rsidRPr="00EA0F66">
        <w:rPr>
          <w:i/>
          <w:iCs/>
          <w:u w:val="single"/>
        </w:rPr>
        <w:t>dactyl</w:t>
      </w:r>
      <w:r w:rsidR="00EA0F66" w:rsidRPr="00EA0F66">
        <w:rPr>
          <w:u w:val="single"/>
        </w:rPr>
        <w:t xml:space="preserve"> and the </w:t>
      </w:r>
      <w:proofErr w:type="spellStart"/>
      <w:r w:rsidR="00EA0F66" w:rsidRPr="00EA0F66">
        <w:rPr>
          <w:i/>
          <w:iCs/>
          <w:u w:val="single"/>
        </w:rPr>
        <w:t>gruppirovka</w:t>
      </w:r>
      <w:proofErr w:type="spellEnd"/>
    </w:p>
    <w:p w14:paraId="66368164" w14:textId="3AE17B54" w:rsidR="007A0B64" w:rsidRPr="007A0B64" w:rsidRDefault="007A0B64" w:rsidP="00EA0F66">
      <w:pPr>
        <w:jc w:val="center"/>
      </w:pPr>
      <w:r w:rsidRPr="007A0B64">
        <w:t>Thomas Wilson</w:t>
      </w:r>
    </w:p>
    <w:p w14:paraId="7ADA0080" w14:textId="77777777" w:rsidR="00EA0F66" w:rsidRDefault="00EA0F66"/>
    <w:p w14:paraId="6C63A890" w14:textId="02EE2D1D" w:rsidR="00D23DBF" w:rsidRDefault="00D23DBF">
      <w:r>
        <w:t xml:space="preserve">An exercise I return to routinely is the </w:t>
      </w:r>
      <w:r>
        <w:rPr>
          <w:i/>
          <w:iCs/>
        </w:rPr>
        <w:t xml:space="preserve">dactyl </w:t>
      </w:r>
      <w:r>
        <w:t xml:space="preserve">of </w:t>
      </w:r>
      <w:r w:rsidR="005E44C8">
        <w:t xml:space="preserve">Meyerhold’s </w:t>
      </w:r>
      <w:r>
        <w:t>Theatrical Biomechanics. This short sequence (as described by various authors</w:t>
      </w:r>
      <w:r w:rsidR="00CA3BCF">
        <w:rPr>
          <w:rStyle w:val="FootnoteReference"/>
        </w:rPr>
        <w:footnoteReference w:id="1"/>
      </w:r>
      <w:r>
        <w:t xml:space="preserve"> and seen in </w:t>
      </w:r>
      <w:hyperlink r:id="rId8" w:history="1">
        <w:proofErr w:type="spellStart"/>
        <w:r w:rsidRPr="00B51297">
          <w:rPr>
            <w:rStyle w:val="Hyperlink"/>
          </w:rPr>
          <w:t>Gennadi</w:t>
        </w:r>
        <w:proofErr w:type="spellEnd"/>
        <w:r w:rsidRPr="00B51297">
          <w:rPr>
            <w:rStyle w:val="Hyperlink"/>
          </w:rPr>
          <w:t xml:space="preserve"> Bogdanov’s </w:t>
        </w:r>
        <w:r w:rsidR="00B51297" w:rsidRPr="00B51297">
          <w:rPr>
            <w:rStyle w:val="Hyperlink"/>
          </w:rPr>
          <w:t>W</w:t>
        </w:r>
        <w:r w:rsidRPr="00B51297">
          <w:rPr>
            <w:rStyle w:val="Hyperlink"/>
          </w:rPr>
          <w:t xml:space="preserve">orkshop </w:t>
        </w:r>
        <w:r w:rsidR="00B51297" w:rsidRPr="00B51297">
          <w:rPr>
            <w:rStyle w:val="Hyperlink"/>
          </w:rPr>
          <w:t>D</w:t>
        </w:r>
        <w:r w:rsidRPr="00B51297">
          <w:rPr>
            <w:rStyle w:val="Hyperlink"/>
          </w:rPr>
          <w:t>emonstration</w:t>
        </w:r>
      </w:hyperlink>
      <w:r>
        <w:t xml:space="preserve"> of 1996) encapsulates within it all of the core principles of </w:t>
      </w:r>
      <w:r w:rsidR="00930E33">
        <w:t>Theatrical Biomechanics</w:t>
      </w:r>
      <w:r w:rsidR="00A527A8">
        <w:t xml:space="preserve">. </w:t>
      </w:r>
      <w:r w:rsidR="005E44C8">
        <w:t xml:space="preserve">It involves </w:t>
      </w:r>
      <w:r>
        <w:t xml:space="preserve">the key phases of </w:t>
      </w:r>
      <w:r w:rsidR="00930E33">
        <w:t>the A</w:t>
      </w:r>
      <w:r>
        <w:t xml:space="preserve">cting </w:t>
      </w:r>
      <w:r w:rsidR="00930E33">
        <w:t>C</w:t>
      </w:r>
      <w:r>
        <w:t>ycle (</w:t>
      </w:r>
      <w:proofErr w:type="spellStart"/>
      <w:r w:rsidRPr="00930E33">
        <w:rPr>
          <w:i/>
          <w:iCs/>
        </w:rPr>
        <w:t>o</w:t>
      </w:r>
      <w:r w:rsidR="00930E33" w:rsidRPr="00930E33">
        <w:rPr>
          <w:i/>
          <w:iCs/>
        </w:rPr>
        <w:t>tkaz</w:t>
      </w:r>
      <w:proofErr w:type="spellEnd"/>
      <w:r w:rsidR="00930E33">
        <w:t xml:space="preserve"> - preparation</w:t>
      </w:r>
      <w:r>
        <w:t xml:space="preserve">, </w:t>
      </w:r>
      <w:proofErr w:type="spellStart"/>
      <w:r w:rsidRPr="00930E33">
        <w:rPr>
          <w:i/>
          <w:iCs/>
        </w:rPr>
        <w:t>p</w:t>
      </w:r>
      <w:r w:rsidR="00930E33" w:rsidRPr="00930E33">
        <w:rPr>
          <w:i/>
          <w:iCs/>
        </w:rPr>
        <w:t>osil</w:t>
      </w:r>
      <w:proofErr w:type="spellEnd"/>
      <w:r w:rsidR="00930E33">
        <w:t xml:space="preserve"> - sending</w:t>
      </w:r>
      <w:r>
        <w:t xml:space="preserve">, </w:t>
      </w:r>
      <w:proofErr w:type="spellStart"/>
      <w:r w:rsidR="00930E33">
        <w:rPr>
          <w:i/>
          <w:iCs/>
        </w:rPr>
        <w:t>t</w:t>
      </w:r>
      <w:r w:rsidR="00930E33" w:rsidRPr="00930E33">
        <w:rPr>
          <w:i/>
          <w:iCs/>
        </w:rPr>
        <w:t>ochka</w:t>
      </w:r>
      <w:proofErr w:type="spellEnd"/>
      <w:r w:rsidR="00930E33">
        <w:t xml:space="preserve"> – full stop</w:t>
      </w:r>
      <w:r>
        <w:t>)</w:t>
      </w:r>
      <w:r w:rsidR="005E44C8">
        <w:t>;</w:t>
      </w:r>
      <w:r>
        <w:t xml:space="preserve"> the central role of rhythm in </w:t>
      </w:r>
      <w:r w:rsidR="001B156C">
        <w:t>Theatrical Biomechanics</w:t>
      </w:r>
      <w:r w:rsidR="005E44C8">
        <w:t>;</w:t>
      </w:r>
      <w:r>
        <w:t xml:space="preserve"> </w:t>
      </w:r>
      <w:r w:rsidR="005E44C8">
        <w:t>and the</w:t>
      </w:r>
      <w:r>
        <w:t xml:space="preserve"> actor’s ability to connect to their stage partners and </w:t>
      </w:r>
      <w:r w:rsidR="00D10320">
        <w:t xml:space="preserve">to </w:t>
      </w:r>
      <w:r>
        <w:t xml:space="preserve">work </w:t>
      </w:r>
      <w:r w:rsidRPr="00D10320">
        <w:rPr>
          <w:i/>
          <w:iCs/>
        </w:rPr>
        <w:t>ensemble</w:t>
      </w:r>
      <w:r>
        <w:t>.</w:t>
      </w:r>
      <w:r w:rsidR="00A527A8">
        <w:t xml:space="preserve"> But the one principle that I think the </w:t>
      </w:r>
      <w:r w:rsidR="00A527A8" w:rsidRPr="00A527A8">
        <w:rPr>
          <w:i/>
          <w:iCs/>
        </w:rPr>
        <w:t>dactyl</w:t>
      </w:r>
      <w:r w:rsidR="00A527A8">
        <w:t xml:space="preserve"> particularly elucidates </w:t>
      </w:r>
      <w:r w:rsidR="00723124">
        <w:t xml:space="preserve">for the actor </w:t>
      </w:r>
      <w:r w:rsidR="00A527A8">
        <w:t xml:space="preserve">is the rarely mentioned </w:t>
      </w:r>
      <w:proofErr w:type="spellStart"/>
      <w:r w:rsidR="00A527A8" w:rsidRPr="00A527A8">
        <w:rPr>
          <w:i/>
          <w:iCs/>
        </w:rPr>
        <w:t>gruppirovka</w:t>
      </w:r>
      <w:proofErr w:type="spellEnd"/>
      <w:r w:rsidR="00A527A8">
        <w:t>.</w:t>
      </w:r>
    </w:p>
    <w:p w14:paraId="37C1BF0E" w14:textId="77777777" w:rsidR="00A527A8" w:rsidRDefault="00A527A8"/>
    <w:p w14:paraId="091672EA" w14:textId="69F5704C" w:rsidR="00A527A8" w:rsidRDefault="00A527A8">
      <w:r>
        <w:t xml:space="preserve">In </w:t>
      </w:r>
      <w:r w:rsidR="001B156C">
        <w:t>Theatrical Biomechanics</w:t>
      </w:r>
      <w:r>
        <w:t xml:space="preserve">, </w:t>
      </w:r>
      <w:proofErr w:type="spellStart"/>
      <w:r w:rsidRPr="00A527A8">
        <w:rPr>
          <w:i/>
          <w:iCs/>
        </w:rPr>
        <w:t>gruppirovka</w:t>
      </w:r>
      <w:proofErr w:type="spellEnd"/>
      <w:r>
        <w:t xml:space="preserve"> (grouping) captures the notion of “gathering around the centre”. As with </w:t>
      </w:r>
      <w:proofErr w:type="gramStart"/>
      <w:r>
        <w:t>all of</w:t>
      </w:r>
      <w:proofErr w:type="gramEnd"/>
      <w:r>
        <w:t xml:space="preserve"> </w:t>
      </w:r>
      <w:r w:rsidR="001B156C">
        <w:t>Theatrical Biomechanics</w:t>
      </w:r>
      <w:r w:rsidR="002620A4">
        <w:t>’</w:t>
      </w:r>
      <w:r>
        <w:t xml:space="preserve"> principles</w:t>
      </w:r>
      <w:r w:rsidR="005E44C8">
        <w:t>,</w:t>
      </w:r>
      <w:r>
        <w:t xml:space="preserve"> </w:t>
      </w:r>
      <w:proofErr w:type="spellStart"/>
      <w:r w:rsidR="005E44C8">
        <w:rPr>
          <w:i/>
          <w:iCs/>
        </w:rPr>
        <w:t>gruppirovka</w:t>
      </w:r>
      <w:proofErr w:type="spellEnd"/>
      <w:r w:rsidR="005E44C8">
        <w:t xml:space="preserve"> </w:t>
      </w:r>
      <w:r>
        <w:t>operates on the personal level of the performer</w:t>
      </w:r>
      <w:r w:rsidR="001B156C">
        <w:t>,</w:t>
      </w:r>
      <w:r w:rsidR="00973CD6">
        <w:t xml:space="preserve"> </w:t>
      </w:r>
      <w:r>
        <w:t xml:space="preserve">the </w:t>
      </w:r>
      <w:r w:rsidR="00973CD6">
        <w:t xml:space="preserve">group </w:t>
      </w:r>
      <w:r>
        <w:t xml:space="preserve">level of the </w:t>
      </w:r>
      <w:r w:rsidR="00973CD6">
        <w:t xml:space="preserve">ensemble within the </w:t>
      </w:r>
      <w:r w:rsidRPr="00A527A8">
        <w:rPr>
          <w:i/>
          <w:iCs/>
        </w:rPr>
        <w:t>mise</w:t>
      </w:r>
      <w:r w:rsidR="00973CD6">
        <w:rPr>
          <w:i/>
          <w:iCs/>
        </w:rPr>
        <w:t>-</w:t>
      </w:r>
      <w:proofErr w:type="spellStart"/>
      <w:r w:rsidRPr="00A527A8">
        <w:rPr>
          <w:i/>
          <w:iCs/>
        </w:rPr>
        <w:t>en</w:t>
      </w:r>
      <w:proofErr w:type="spellEnd"/>
      <w:r w:rsidR="00973CD6">
        <w:rPr>
          <w:i/>
          <w:iCs/>
        </w:rPr>
        <w:t>-</w:t>
      </w:r>
      <w:proofErr w:type="spellStart"/>
      <w:r w:rsidRPr="00A527A8">
        <w:rPr>
          <w:i/>
          <w:iCs/>
        </w:rPr>
        <w:t>sc</w:t>
      </w:r>
      <w:r w:rsidR="00973CD6">
        <w:rPr>
          <w:i/>
          <w:iCs/>
        </w:rPr>
        <w:t>è</w:t>
      </w:r>
      <w:r w:rsidRPr="00A527A8">
        <w:rPr>
          <w:i/>
          <w:iCs/>
        </w:rPr>
        <w:t>ne</w:t>
      </w:r>
      <w:proofErr w:type="spellEnd"/>
      <w:r w:rsidR="001B156C">
        <w:t>, and at the level of the play/performance as a whole</w:t>
      </w:r>
      <w:r w:rsidR="00973CD6">
        <w:t>.</w:t>
      </w:r>
      <w:r w:rsidR="001B156C">
        <w:t xml:space="preserve"> It is the first of these that I am most interested in for this short </w:t>
      </w:r>
      <w:proofErr w:type="spellStart"/>
      <w:r w:rsidR="001B156C" w:rsidRPr="001B156C">
        <w:rPr>
          <w:i/>
          <w:iCs/>
        </w:rPr>
        <w:t>essai</w:t>
      </w:r>
      <w:proofErr w:type="spellEnd"/>
      <w:r w:rsidR="001B156C" w:rsidRPr="00CA3BCF">
        <w:rPr>
          <w:i/>
          <w:iCs/>
        </w:rPr>
        <w:t>.</w:t>
      </w:r>
      <w:r>
        <w:t xml:space="preserve"> </w:t>
      </w:r>
    </w:p>
    <w:p w14:paraId="55697C12" w14:textId="77777777" w:rsidR="00A527A8" w:rsidRDefault="00A527A8"/>
    <w:p w14:paraId="3C8CD1DC" w14:textId="63D68B8F" w:rsidR="005E44C8" w:rsidRDefault="00A527A8">
      <w:r>
        <w:t>In terms of the performer</w:t>
      </w:r>
      <w:r w:rsidR="00371FCC">
        <w:t>,</w:t>
      </w:r>
      <w:r>
        <w:t xml:space="preserve"> the centre </w:t>
      </w:r>
      <w:r w:rsidR="005E44C8">
        <w:t xml:space="preserve">in this case </w:t>
      </w:r>
      <w:proofErr w:type="gramStart"/>
      <w:r>
        <w:t xml:space="preserve">is </w:t>
      </w:r>
      <w:r w:rsidR="005E44C8">
        <w:t>considered to be</w:t>
      </w:r>
      <w:proofErr w:type="gramEnd"/>
      <w:r w:rsidR="005E44C8">
        <w:t xml:space="preserve"> </w:t>
      </w:r>
      <w:r>
        <w:t xml:space="preserve">the actor’s solar plexus. This point is selected because </w:t>
      </w:r>
      <w:r w:rsidR="00371FCC">
        <w:t xml:space="preserve">it is </w:t>
      </w:r>
      <w:r w:rsidR="0037520E">
        <w:t>the</w:t>
      </w:r>
      <w:r w:rsidR="00371FCC">
        <w:t xml:space="preserve"> </w:t>
      </w:r>
      <w:r w:rsidR="0037520E">
        <w:t xml:space="preserve">centre of the torso and approximately </w:t>
      </w:r>
      <w:r>
        <w:t>equidistant from the hands and feet of the performer</w:t>
      </w:r>
      <w:r w:rsidR="0037520E">
        <w:t xml:space="preserve">. Considering the solar plexus as the centre </w:t>
      </w:r>
      <w:r w:rsidR="00371FCC">
        <w:t xml:space="preserve">of the body </w:t>
      </w:r>
      <w:r w:rsidR="006D34C6">
        <w:t xml:space="preserve">encourages the </w:t>
      </w:r>
      <w:r>
        <w:t xml:space="preserve">actor to shift their attention away from the head/face as the </w:t>
      </w:r>
      <w:r w:rsidR="00371FCC">
        <w:t xml:space="preserve">focus of any </w:t>
      </w:r>
      <w:r w:rsidR="006D34C6">
        <w:t xml:space="preserve">expressive </w:t>
      </w:r>
      <w:r w:rsidR="00B51297">
        <w:t>action</w:t>
      </w:r>
      <w:r w:rsidR="0037520E">
        <w:t>/</w:t>
      </w:r>
      <w:r w:rsidR="00B51297">
        <w:t>gesture</w:t>
      </w:r>
      <w:r w:rsidR="005E44C8">
        <w:t>, and</w:t>
      </w:r>
      <w:r w:rsidR="00B51297">
        <w:t xml:space="preserve"> </w:t>
      </w:r>
      <w:r w:rsidR="006D34C6">
        <w:t xml:space="preserve">to the body as a whole. In </w:t>
      </w:r>
      <w:r w:rsidR="0037520E">
        <w:t>addition</w:t>
      </w:r>
      <w:r w:rsidR="00991877">
        <w:t>,</w:t>
      </w:r>
      <w:r w:rsidR="00371FCC">
        <w:t xml:space="preserve"> it also </w:t>
      </w:r>
      <w:r w:rsidR="006D34C6">
        <w:t>encourages the actor to view their limbs and head as responsive to the motions of the torso</w:t>
      </w:r>
      <w:r w:rsidR="005E1A91">
        <w:t xml:space="preserve"> – not the other way round</w:t>
      </w:r>
      <w:r w:rsidR="00B51297">
        <w:t xml:space="preserve"> –</w:t>
      </w:r>
      <w:r w:rsidR="0037520E">
        <w:t xml:space="preserve"> </w:t>
      </w:r>
      <w:r w:rsidR="00B51297">
        <w:t>thus leading to greater physical</w:t>
      </w:r>
      <w:r w:rsidR="00371FCC">
        <w:t xml:space="preserve"> awareness</w:t>
      </w:r>
      <w:r w:rsidR="009F62A3">
        <w:t>, specificity</w:t>
      </w:r>
      <w:r w:rsidR="00371FCC">
        <w:t xml:space="preserve"> </w:t>
      </w:r>
      <w:r w:rsidR="009F62A3">
        <w:t xml:space="preserve">and control </w:t>
      </w:r>
      <w:r w:rsidR="005E44C8">
        <w:t xml:space="preserve">within </w:t>
      </w:r>
      <w:r w:rsidR="00B51297">
        <w:t>the actor’s performance</w:t>
      </w:r>
      <w:r w:rsidR="006D34C6">
        <w:t>.</w:t>
      </w:r>
      <w:r w:rsidR="00991877">
        <w:t xml:space="preserve"> </w:t>
      </w:r>
    </w:p>
    <w:p w14:paraId="503B7490" w14:textId="77777777" w:rsidR="006D34C6" w:rsidRDefault="006D34C6"/>
    <w:p w14:paraId="57DB5E67" w14:textId="0BE647F1" w:rsidR="009C1FAC" w:rsidRDefault="009F62A3">
      <w:r>
        <w:t xml:space="preserve">It is worth describing the execution of the </w:t>
      </w:r>
      <w:proofErr w:type="gramStart"/>
      <w:r>
        <w:t>dactyl,</w:t>
      </w:r>
      <w:proofErr w:type="gramEnd"/>
      <w:r>
        <w:t xml:space="preserve"> to get a greater sense of both its form and the challenge it sets a performer. </w:t>
      </w:r>
    </w:p>
    <w:p w14:paraId="482E6FAA" w14:textId="1C629C67" w:rsidR="009C1FAC" w:rsidRDefault="009C1FAC" w:rsidP="009C1FAC">
      <w:pPr>
        <w:pStyle w:val="ListParagraph"/>
        <w:numPr>
          <w:ilvl w:val="0"/>
          <w:numId w:val="2"/>
        </w:numPr>
      </w:pPr>
      <w:r>
        <w:t xml:space="preserve">The performer begins by standing </w:t>
      </w:r>
      <w:r w:rsidR="009F62A3">
        <w:t xml:space="preserve">with their feet in </w:t>
      </w:r>
      <w:r>
        <w:t>parallel, arms by their side</w:t>
      </w:r>
      <w:r w:rsidR="009F62A3">
        <w:t xml:space="preserve"> (hands facing the sides of their legs)</w:t>
      </w:r>
      <w:r>
        <w:t xml:space="preserve"> with a gentle active tension throughout the </w:t>
      </w:r>
      <w:r w:rsidR="009F62A3">
        <w:t xml:space="preserve">whole </w:t>
      </w:r>
      <w:r>
        <w:t xml:space="preserve">body and the sensation of a slight forward lift in their sternum. </w:t>
      </w:r>
    </w:p>
    <w:p w14:paraId="0AD7126C" w14:textId="00F304AC" w:rsidR="009C1FAC" w:rsidRDefault="009C1FAC" w:rsidP="009C1FAC">
      <w:pPr>
        <w:pStyle w:val="ListParagraph"/>
        <w:numPr>
          <w:ilvl w:val="0"/>
          <w:numId w:val="2"/>
        </w:numPr>
      </w:pPr>
      <w:r>
        <w:t xml:space="preserve">the performer prepares for the </w:t>
      </w:r>
      <w:r w:rsidR="009F62A3" w:rsidRPr="009F62A3">
        <w:rPr>
          <w:i/>
          <w:iCs/>
        </w:rPr>
        <w:t>dactyl</w:t>
      </w:r>
      <w:r w:rsidR="009F62A3">
        <w:t xml:space="preserve"> </w:t>
      </w:r>
      <w:r>
        <w:t xml:space="preserve">by shifting their weight slightly forwards so that the balls of their feet take a little more weight than the heels. Their gaze is </w:t>
      </w:r>
      <w:r w:rsidR="009F62A3">
        <w:t xml:space="preserve">soft and </w:t>
      </w:r>
      <w:r>
        <w:t>forwards</w:t>
      </w:r>
      <w:r w:rsidR="009F62A3">
        <w:t xml:space="preserve"> (often looking at a partner or the wider ensemble).</w:t>
      </w:r>
    </w:p>
    <w:p w14:paraId="6276B9BC" w14:textId="36BBBFD0" w:rsidR="009C1FAC" w:rsidRDefault="009C1FAC" w:rsidP="009C1FAC">
      <w:pPr>
        <w:pStyle w:val="ListParagraph"/>
        <w:numPr>
          <w:ilvl w:val="0"/>
          <w:numId w:val="2"/>
        </w:numPr>
      </w:pPr>
      <w:r>
        <w:t xml:space="preserve">the actor then simultaneously bends their knees, contracts their torso forwards around the solar plexus, drops their head, and lifts their arms behind them </w:t>
      </w:r>
      <w:r w:rsidR="009F62A3">
        <w:t>(</w:t>
      </w:r>
      <w:r>
        <w:t xml:space="preserve">elbows uppermost </w:t>
      </w:r>
      <w:r w:rsidR="009F62A3">
        <w:t xml:space="preserve">and bent </w:t>
      </w:r>
      <w:r>
        <w:t>with fingers pointing downwards</w:t>
      </w:r>
      <w:r w:rsidR="009F62A3">
        <w:t>)</w:t>
      </w:r>
      <w:r>
        <w:t xml:space="preserve">. </w:t>
      </w:r>
    </w:p>
    <w:p w14:paraId="1B2890D9" w14:textId="3D4C2880" w:rsidR="009C1FAC" w:rsidRDefault="009C1FAC" w:rsidP="009C1FAC">
      <w:pPr>
        <w:pStyle w:val="ListParagraph"/>
        <w:numPr>
          <w:ilvl w:val="0"/>
          <w:numId w:val="2"/>
        </w:numPr>
      </w:pPr>
      <w:r>
        <w:t>The performer then (again simultaneously) straightens their legs, unfolds their body and swings their arms forwards and upwards so that the</w:t>
      </w:r>
      <w:r w:rsidR="009F62A3">
        <w:t>ir</w:t>
      </w:r>
      <w:r>
        <w:t xml:space="preserve"> arms are </w:t>
      </w:r>
      <w:r w:rsidR="009F62A3">
        <w:t xml:space="preserve">straight </w:t>
      </w:r>
      <w:r>
        <w:t>above their head, and they are standing straight. Their gaze returns to look forwards.</w:t>
      </w:r>
    </w:p>
    <w:p w14:paraId="0C88A5F2" w14:textId="0A5555C7" w:rsidR="009C1FAC" w:rsidRDefault="009C1FAC" w:rsidP="009C1FAC">
      <w:pPr>
        <w:pStyle w:val="ListParagraph"/>
        <w:numPr>
          <w:ilvl w:val="0"/>
          <w:numId w:val="2"/>
        </w:numPr>
      </w:pPr>
      <w:proofErr w:type="gramStart"/>
      <w:r>
        <w:t>At the moment</w:t>
      </w:r>
      <w:proofErr w:type="gramEnd"/>
      <w:r>
        <w:t xml:space="preserve"> they reach the peak of th</w:t>
      </w:r>
      <w:r w:rsidR="009F62A3">
        <w:t>is</w:t>
      </w:r>
      <w:r>
        <w:t xml:space="preserve"> swing, the actor drops the</w:t>
      </w:r>
      <w:r w:rsidR="009F62A3">
        <w:t>ir</w:t>
      </w:r>
      <w:r>
        <w:t xml:space="preserve"> elbows to the side of their torso and claps their hands </w:t>
      </w:r>
      <w:r w:rsidR="009F62A3">
        <w:t xml:space="preserve">downwards </w:t>
      </w:r>
      <w:r>
        <w:t xml:space="preserve">twice in quick </w:t>
      </w:r>
      <w:r>
        <w:lastRenderedPageBreak/>
        <w:t xml:space="preserve">succession. </w:t>
      </w:r>
      <w:r w:rsidR="009F62A3">
        <w:t xml:space="preserve">As </w:t>
      </w:r>
      <w:r>
        <w:t>the hands move to clap the actor bends their knees and contract</w:t>
      </w:r>
      <w:r w:rsidR="009F62A3">
        <w:t>s</w:t>
      </w:r>
      <w:r>
        <w:t xml:space="preserve"> their torso whilst dropping their head. After each clap the actor straightens their legs, lifts their head and unfolds their torso.</w:t>
      </w:r>
      <w:r w:rsidR="009F62A3">
        <w:t xml:space="preserve"> </w:t>
      </w:r>
    </w:p>
    <w:p w14:paraId="22656F34" w14:textId="324C37D9" w:rsidR="009C1FAC" w:rsidRDefault="009C1FAC" w:rsidP="009C1FAC">
      <w:pPr>
        <w:pStyle w:val="ListParagraph"/>
        <w:numPr>
          <w:ilvl w:val="0"/>
          <w:numId w:val="2"/>
        </w:numPr>
      </w:pPr>
      <w:r>
        <w:t xml:space="preserve">After the second clap the actor </w:t>
      </w:r>
      <w:r w:rsidR="009F62A3">
        <w:t xml:space="preserve">returns to </w:t>
      </w:r>
      <w:r>
        <w:t>the ready position, an active tension in their body and their gaze forwards.</w:t>
      </w:r>
    </w:p>
    <w:p w14:paraId="4F58DB73" w14:textId="77777777" w:rsidR="009C1FAC" w:rsidRDefault="009C1FAC"/>
    <w:p w14:paraId="5EB5F789" w14:textId="1FA72CD1" w:rsidR="00D10320" w:rsidRDefault="009C1FAC">
      <w:r>
        <w:t xml:space="preserve">From this description it should be clear that the </w:t>
      </w:r>
      <w:r w:rsidR="006D34C6" w:rsidRPr="006D34C6">
        <w:rPr>
          <w:i/>
          <w:iCs/>
        </w:rPr>
        <w:t>dactyl</w:t>
      </w:r>
      <w:r w:rsidR="006D34C6">
        <w:t xml:space="preserve"> embod</w:t>
      </w:r>
      <w:r w:rsidR="00B51297">
        <w:t>ies</w:t>
      </w:r>
      <w:r w:rsidR="006D34C6">
        <w:t xml:space="preserve"> </w:t>
      </w:r>
      <w:r w:rsidR="00CB0D10">
        <w:t xml:space="preserve">and trains </w:t>
      </w:r>
      <w:r w:rsidR="00991877">
        <w:t xml:space="preserve">the principle of </w:t>
      </w:r>
      <w:proofErr w:type="spellStart"/>
      <w:r w:rsidR="00991877" w:rsidRPr="00991877">
        <w:rPr>
          <w:i/>
          <w:iCs/>
        </w:rPr>
        <w:t>gruppirovka</w:t>
      </w:r>
      <w:proofErr w:type="spellEnd"/>
      <w:r w:rsidR="00991877">
        <w:t xml:space="preserve"> </w:t>
      </w:r>
      <w:r w:rsidR="006D34C6">
        <w:t xml:space="preserve">by asking the performer to </w:t>
      </w:r>
      <w:r w:rsidR="005E1A91">
        <w:t xml:space="preserve">actively </w:t>
      </w:r>
      <w:r w:rsidR="006D34C6">
        <w:t>fold and unfold around the</w:t>
      </w:r>
      <w:r>
        <w:t>ir</w:t>
      </w:r>
      <w:r w:rsidR="006D34C6">
        <w:t xml:space="preserve"> solar plexus, doing so with controlled speed and </w:t>
      </w:r>
      <w:r w:rsidR="005E1A91">
        <w:t xml:space="preserve">a </w:t>
      </w:r>
      <w:r w:rsidR="006D34C6">
        <w:t>rhythm</w:t>
      </w:r>
      <w:r w:rsidR="005E1A91">
        <w:t>ic change</w:t>
      </w:r>
      <w:r w:rsidR="00991877">
        <w:t>. T</w:t>
      </w:r>
      <w:r w:rsidR="005E1A91">
        <w:t>his rhythmic change is where the dactyl gets it</w:t>
      </w:r>
      <w:r w:rsidR="00D10320">
        <w:t>s</w:t>
      </w:r>
      <w:r w:rsidR="005E1A91">
        <w:t xml:space="preserve"> name from</w:t>
      </w:r>
      <w:r w:rsidR="00B51297">
        <w:t xml:space="preserve">: </w:t>
      </w:r>
      <w:r w:rsidR="00D10320">
        <w:t xml:space="preserve">dactyl being the Greek metre of poetry that features </w:t>
      </w:r>
      <w:r w:rsidR="005E1A91">
        <w:t>one long b</w:t>
      </w:r>
      <w:r w:rsidR="00D10320">
        <w:t>e</w:t>
      </w:r>
      <w:r w:rsidR="005E1A91">
        <w:t>at</w:t>
      </w:r>
      <w:r>
        <w:t xml:space="preserve"> (the </w:t>
      </w:r>
      <w:r w:rsidR="001E6C11">
        <w:t>initial contraction and swing of the arms upwards) followed</w:t>
      </w:r>
      <w:r w:rsidR="005E1A91">
        <w:t xml:space="preserve"> by two short beats</w:t>
      </w:r>
      <w:r w:rsidR="001E6C11">
        <w:t xml:space="preserve"> (the two claps). </w:t>
      </w:r>
      <w:r w:rsidR="00B51297">
        <w:t>Crucially, t</w:t>
      </w:r>
      <w:r w:rsidR="006D34C6">
        <w:t>he action of the knees and elbows (which bend and straighten in concert with this folding and unfolding</w:t>
      </w:r>
      <w:r w:rsidR="00B51297">
        <w:t xml:space="preserve"> of the torso</w:t>
      </w:r>
      <w:r w:rsidR="006D34C6">
        <w:t xml:space="preserve">) and the swing of the arms around the shoulder joint are initiated by </w:t>
      </w:r>
      <w:r w:rsidR="00723124">
        <w:t xml:space="preserve">the </w:t>
      </w:r>
      <w:r w:rsidR="006D34C6">
        <w:t xml:space="preserve">action of the torso. </w:t>
      </w:r>
      <w:r w:rsidR="00D10320">
        <w:t xml:space="preserve">When actors first begin to practice the </w:t>
      </w:r>
      <w:r w:rsidR="00D10320" w:rsidRPr="00D10320">
        <w:rPr>
          <w:i/>
          <w:iCs/>
        </w:rPr>
        <w:t>dactyl</w:t>
      </w:r>
      <w:r w:rsidR="00CB0D10">
        <w:t>,</w:t>
      </w:r>
      <w:r w:rsidR="00D10320">
        <w:t xml:space="preserve"> the tendency is to start the action from the </w:t>
      </w:r>
      <w:r w:rsidR="00723124">
        <w:t>hands</w:t>
      </w:r>
      <w:r w:rsidR="00D10320">
        <w:t xml:space="preserve">, </w:t>
      </w:r>
      <w:r w:rsidR="00991877">
        <w:t xml:space="preserve">often tensing their shoulders and back as they do so, </w:t>
      </w:r>
      <w:r w:rsidR="00D10320">
        <w:t xml:space="preserve">but it is the </w:t>
      </w:r>
      <w:r w:rsidR="00991877">
        <w:t xml:space="preserve">activation </w:t>
      </w:r>
      <w:r w:rsidR="00D10320">
        <w:t xml:space="preserve">of the </w:t>
      </w:r>
      <w:proofErr w:type="spellStart"/>
      <w:r w:rsidR="00D10320" w:rsidRPr="00D10320">
        <w:rPr>
          <w:i/>
          <w:iCs/>
        </w:rPr>
        <w:t>gruppirovka</w:t>
      </w:r>
      <w:proofErr w:type="spellEnd"/>
      <w:r w:rsidR="00D10320">
        <w:t xml:space="preserve"> that </w:t>
      </w:r>
      <w:r w:rsidR="001E6C11">
        <w:t xml:space="preserve">should initiate </w:t>
      </w:r>
      <w:r w:rsidR="00D10320">
        <w:t xml:space="preserve">the </w:t>
      </w:r>
      <w:r w:rsidR="00991877">
        <w:t xml:space="preserve">movement of the </w:t>
      </w:r>
      <w:r w:rsidR="00D10320">
        <w:t xml:space="preserve">rest of the body. </w:t>
      </w:r>
    </w:p>
    <w:p w14:paraId="6C11AE3B" w14:textId="77777777" w:rsidR="00D10320" w:rsidRDefault="00D10320"/>
    <w:p w14:paraId="72CE2398" w14:textId="0FE15F52" w:rsidR="001D1EDE" w:rsidRPr="005E44C8" w:rsidRDefault="006D34C6">
      <w:pPr>
        <w:rPr>
          <w:color w:val="FF0000"/>
        </w:rPr>
      </w:pPr>
      <w:r>
        <w:t xml:space="preserve">Repetition of </w:t>
      </w:r>
      <w:r w:rsidR="007E70D1">
        <w:t>the</w:t>
      </w:r>
      <w:r w:rsidR="00B51297">
        <w:t xml:space="preserve"> </w:t>
      </w:r>
      <w:r w:rsidR="00B51297" w:rsidRPr="00723124">
        <w:rPr>
          <w:i/>
          <w:iCs/>
        </w:rPr>
        <w:t>dactyl</w:t>
      </w:r>
      <w:r w:rsidR="007E70D1">
        <w:t xml:space="preserve">, its activation of the </w:t>
      </w:r>
      <w:proofErr w:type="spellStart"/>
      <w:r w:rsidR="007E70D1" w:rsidRPr="007E70D1">
        <w:rPr>
          <w:i/>
          <w:iCs/>
        </w:rPr>
        <w:t>gruppirovka</w:t>
      </w:r>
      <w:proofErr w:type="spellEnd"/>
      <w:r w:rsidR="007E70D1">
        <w:t xml:space="preserve">, </w:t>
      </w:r>
      <w:r>
        <w:t xml:space="preserve">and </w:t>
      </w:r>
      <w:r w:rsidR="007E70D1">
        <w:t xml:space="preserve">the </w:t>
      </w:r>
      <w:r w:rsidR="001F648A">
        <w:t xml:space="preserve">exploration </w:t>
      </w:r>
      <w:r>
        <w:t xml:space="preserve">of the </w:t>
      </w:r>
      <w:r w:rsidR="00D10320">
        <w:t xml:space="preserve">principle </w:t>
      </w:r>
      <w:r>
        <w:t xml:space="preserve">within the longer </w:t>
      </w:r>
      <w:r w:rsidR="00B51297">
        <w:t xml:space="preserve">sequences of Theatrical Biomechanics’ </w:t>
      </w:r>
      <w:r w:rsidRPr="00C93DA3">
        <w:rPr>
          <w:i/>
          <w:iCs/>
        </w:rPr>
        <w:t>études</w:t>
      </w:r>
      <w:r w:rsidR="00C93DA3">
        <w:rPr>
          <w:rStyle w:val="FootnoteReference"/>
          <w:i/>
          <w:iCs/>
        </w:rPr>
        <w:footnoteReference w:id="2"/>
      </w:r>
      <w:r w:rsidR="005E44C8">
        <w:t>,</w:t>
      </w:r>
      <w:r w:rsidR="007E70D1">
        <w:t xml:space="preserve"> </w:t>
      </w:r>
      <w:r>
        <w:t xml:space="preserve">is designed to gradually </w:t>
      </w:r>
      <w:r w:rsidR="00B51297">
        <w:t xml:space="preserve">encourage </w:t>
      </w:r>
      <w:r>
        <w:t xml:space="preserve">a greater </w:t>
      </w:r>
      <w:r w:rsidR="005E1A91">
        <w:t xml:space="preserve">harmony and conscious </w:t>
      </w:r>
      <w:r>
        <w:t>organisation</w:t>
      </w:r>
      <w:r w:rsidR="005E1A91">
        <w:t xml:space="preserve"> </w:t>
      </w:r>
      <w:r>
        <w:t>of the actor’s movement</w:t>
      </w:r>
      <w:r w:rsidR="00CB0D10">
        <w:t xml:space="preserve">, </w:t>
      </w:r>
      <w:r w:rsidR="00D10320">
        <w:t xml:space="preserve">as they </w:t>
      </w:r>
      <w:r>
        <w:t>work</w:t>
      </w:r>
      <w:r w:rsidR="005E1A91">
        <w:t xml:space="preserve"> </w:t>
      </w:r>
      <w:r>
        <w:t xml:space="preserve">from the centre. </w:t>
      </w:r>
      <w:r w:rsidR="005E1A91">
        <w:t xml:space="preserve">This has the aim of affording the actor the </w:t>
      </w:r>
      <w:r w:rsidR="00B51297">
        <w:t xml:space="preserve">capacity </w:t>
      </w:r>
      <w:r>
        <w:t>to more easily embody actions and gesture</w:t>
      </w:r>
      <w:r w:rsidR="00B51297">
        <w:t>s</w:t>
      </w:r>
      <w:r>
        <w:t xml:space="preserve"> </w:t>
      </w:r>
      <w:r w:rsidR="005E1A91">
        <w:t xml:space="preserve">on stage, </w:t>
      </w:r>
      <w:r>
        <w:t xml:space="preserve">actions and gestures that are </w:t>
      </w:r>
      <w:r w:rsidR="005E1A91">
        <w:t xml:space="preserve">executed by </w:t>
      </w:r>
      <w:r>
        <w:t>the whole body</w:t>
      </w:r>
      <w:r w:rsidR="005E1A91">
        <w:t xml:space="preserve"> and not isolated from it</w:t>
      </w:r>
      <w:r>
        <w:t>. The simple act of reaching to grab something</w:t>
      </w:r>
      <w:r w:rsidR="00CB0D10">
        <w:t>, for example,</w:t>
      </w:r>
      <w:r>
        <w:t xml:space="preserve"> becomes a whole-body action that is rooted in the torso </w:t>
      </w:r>
      <w:r w:rsidR="005E1A91">
        <w:t>and connected to the actor’s feet</w:t>
      </w:r>
      <w:r w:rsidR="005E1A91" w:rsidRPr="001E6C11">
        <w:t xml:space="preserve">. </w:t>
      </w:r>
      <w:r w:rsidR="001E6C11" w:rsidRPr="001E6C11">
        <w:rPr>
          <w:color w:val="000000" w:themeColor="text1"/>
        </w:rPr>
        <w:t xml:space="preserve">Note, that </w:t>
      </w:r>
      <w:r w:rsidR="005E44C8" w:rsidRPr="001E6C11">
        <w:t xml:space="preserve">whilst Theatrical Biomechanics was conceived of as the basis for a stylised and heightened physicality, the principles can </w:t>
      </w:r>
      <w:r w:rsidR="005E44C8" w:rsidRPr="001E6C11">
        <w:rPr>
          <w:color w:val="000000" w:themeColor="text1"/>
        </w:rPr>
        <w:t>also be translated to more nuanced performance styles, enhancing full-body action albeit less visible to an audience’s gaze.</w:t>
      </w:r>
    </w:p>
    <w:p w14:paraId="6F36C1B5" w14:textId="7F507440" w:rsidR="006D34C6" w:rsidRDefault="006D34C6"/>
    <w:p w14:paraId="3EAB383F" w14:textId="3E7CC006" w:rsidR="00D2180A" w:rsidRDefault="006D34C6">
      <w:r>
        <w:t xml:space="preserve">Key to </w:t>
      </w:r>
      <w:r w:rsidR="005E1A91">
        <w:t xml:space="preserve">this </w:t>
      </w:r>
      <w:r w:rsidR="005168AE">
        <w:t xml:space="preserve">training process </w:t>
      </w:r>
      <w:r w:rsidR="005E1A91">
        <w:t>is the actor’s consciousness of the action of the</w:t>
      </w:r>
      <w:r w:rsidR="005168AE">
        <w:t>ir</w:t>
      </w:r>
      <w:r w:rsidR="005E1A91">
        <w:t xml:space="preserve"> torso</w:t>
      </w:r>
      <w:r w:rsidR="00CB0D10">
        <w:t>.</w:t>
      </w:r>
      <w:r w:rsidR="005E1A91">
        <w:t xml:space="preserve"> </w:t>
      </w:r>
      <w:r w:rsidR="00CB0D10">
        <w:t xml:space="preserve">Working with </w:t>
      </w:r>
      <w:proofErr w:type="spellStart"/>
      <w:r w:rsidR="005E1A91" w:rsidRPr="005E1A91">
        <w:rPr>
          <w:i/>
          <w:iCs/>
        </w:rPr>
        <w:t>gruppirovka</w:t>
      </w:r>
      <w:proofErr w:type="spellEnd"/>
      <w:r w:rsidR="005E1A91">
        <w:t xml:space="preserve"> points to the need for the actor </w:t>
      </w:r>
      <w:r w:rsidR="00D10320">
        <w:t xml:space="preserve">to </w:t>
      </w:r>
      <w:r w:rsidR="005E1A91">
        <w:t>activate the muscles around the solar plexus</w:t>
      </w:r>
      <w:r w:rsidR="00D2180A">
        <w:t xml:space="preserve"> (</w:t>
      </w:r>
      <w:r w:rsidR="00D10320">
        <w:t xml:space="preserve">those of the </w:t>
      </w:r>
      <w:r w:rsidR="005E1A91">
        <w:t>chest, abdomen, and back</w:t>
      </w:r>
      <w:r w:rsidR="00D2180A">
        <w:t>)</w:t>
      </w:r>
      <w:r w:rsidR="005E1A91">
        <w:t xml:space="preserve">. </w:t>
      </w:r>
      <w:r w:rsidR="00CB0D10">
        <w:t xml:space="preserve">During training this is a </w:t>
      </w:r>
      <w:r w:rsidR="005E1A91">
        <w:t>conscious action</w:t>
      </w:r>
      <w:r w:rsidR="00D2180A">
        <w:t xml:space="preserve"> </w:t>
      </w:r>
      <w:r w:rsidR="005E1A91">
        <w:t xml:space="preserve">that needs to be </w:t>
      </w:r>
      <w:r w:rsidR="00D10320">
        <w:t xml:space="preserve">sensed </w:t>
      </w:r>
      <w:r w:rsidR="005E1A91">
        <w:t xml:space="preserve">kinaesthetically. </w:t>
      </w:r>
      <w:proofErr w:type="spellStart"/>
      <w:r w:rsidR="005E1A91">
        <w:t>Korenev</w:t>
      </w:r>
      <w:proofErr w:type="spellEnd"/>
      <w:r w:rsidR="005E1A91">
        <w:t xml:space="preserve"> </w:t>
      </w:r>
      <w:r w:rsidR="00D10320">
        <w:t xml:space="preserve">in his listing of the principles of </w:t>
      </w:r>
      <w:r w:rsidR="00D2180A">
        <w:t xml:space="preserve">Theatrical Biomechanics </w:t>
      </w:r>
      <w:r w:rsidR="0010174F">
        <w:t xml:space="preserve">identifies the idea of the actor intentionally </w:t>
      </w:r>
      <w:r w:rsidR="005E1A91">
        <w:t>“tensing-up”</w:t>
      </w:r>
      <w:r w:rsidR="0010174F" w:rsidRPr="0010174F">
        <w:rPr>
          <w:rStyle w:val="FootnoteReference"/>
        </w:rPr>
        <w:t xml:space="preserve"> </w:t>
      </w:r>
      <w:r w:rsidR="0010174F">
        <w:rPr>
          <w:rStyle w:val="FootnoteReference"/>
        </w:rPr>
        <w:footnoteReference w:id="3"/>
      </w:r>
      <w:r w:rsidR="005168AE">
        <w:t xml:space="preserve"> as a general </w:t>
      </w:r>
      <w:r w:rsidR="0010174F">
        <w:t>principle</w:t>
      </w:r>
      <w:r w:rsidR="00C93DA3">
        <w:t xml:space="preserve"> - n</w:t>
      </w:r>
      <w:r w:rsidR="0010174F">
        <w:t xml:space="preserve">ot to be confused with unwanted tension that actors work to avoid but rather an intentional application of muscular tension. This suggests the </w:t>
      </w:r>
      <w:r w:rsidR="00C93DA3">
        <w:t xml:space="preserve">quality </w:t>
      </w:r>
      <w:r w:rsidR="005E1A91">
        <w:t>of the kinaesthetic feeling</w:t>
      </w:r>
      <w:r w:rsidR="00CB0D10">
        <w:t xml:space="preserve"> the actor is looking for</w:t>
      </w:r>
      <w:r w:rsidR="005168AE">
        <w:t xml:space="preserve"> in both working with </w:t>
      </w:r>
      <w:proofErr w:type="spellStart"/>
      <w:r w:rsidR="005168AE" w:rsidRPr="005168AE">
        <w:rPr>
          <w:i/>
          <w:iCs/>
        </w:rPr>
        <w:t>gruppirovka</w:t>
      </w:r>
      <w:proofErr w:type="spellEnd"/>
      <w:r w:rsidR="005168AE">
        <w:t xml:space="preserve"> and Theatrical Biomechanical training</w:t>
      </w:r>
      <w:r w:rsidR="0010174F">
        <w:t xml:space="preserve"> in general</w:t>
      </w:r>
      <w:r w:rsidR="005E1A91">
        <w:t xml:space="preserve">. </w:t>
      </w:r>
      <w:r w:rsidR="005168AE">
        <w:t xml:space="preserve">It is through this </w:t>
      </w:r>
      <w:r w:rsidR="005E1A91">
        <w:t xml:space="preserve">tensing-up </w:t>
      </w:r>
      <w:r w:rsidR="005168AE">
        <w:t>(</w:t>
      </w:r>
      <w:r w:rsidR="0010174F">
        <w:t xml:space="preserve">often </w:t>
      </w:r>
      <w:r w:rsidR="005168AE">
        <w:t xml:space="preserve">in the form of </w:t>
      </w:r>
      <w:r w:rsidR="005E1A91">
        <w:t xml:space="preserve">a </w:t>
      </w:r>
      <w:r w:rsidR="00CB0D10">
        <w:t xml:space="preserve">light, </w:t>
      </w:r>
      <w:r w:rsidR="005E1A91">
        <w:t>flexible tension</w:t>
      </w:r>
      <w:r w:rsidR="0010174F">
        <w:t xml:space="preserve"> in specific muscle groups</w:t>
      </w:r>
      <w:r w:rsidR="005168AE">
        <w:t xml:space="preserve">) that the performer </w:t>
      </w:r>
      <w:proofErr w:type="gramStart"/>
      <w:r w:rsidR="005168AE">
        <w:t>is able to</w:t>
      </w:r>
      <w:proofErr w:type="gramEnd"/>
      <w:r w:rsidR="005168AE">
        <w:t xml:space="preserve"> build the consciousness of the</w:t>
      </w:r>
      <w:r w:rsidR="0010174F">
        <w:t>ir</w:t>
      </w:r>
      <w:r w:rsidR="005168AE">
        <w:t xml:space="preserve"> action</w:t>
      </w:r>
      <w:r w:rsidR="0010174F">
        <w:t>s</w:t>
      </w:r>
      <w:r w:rsidR="005E1A91">
        <w:t>.</w:t>
      </w:r>
    </w:p>
    <w:p w14:paraId="2646A845" w14:textId="77777777" w:rsidR="00D2180A" w:rsidRDefault="00D2180A"/>
    <w:p w14:paraId="2049144C" w14:textId="5B9F7892" w:rsidR="00AE08B9" w:rsidRDefault="0010174F">
      <w:r>
        <w:lastRenderedPageBreak/>
        <w:t xml:space="preserve">Using this tensing-up to notice and activate their </w:t>
      </w:r>
      <w:proofErr w:type="spellStart"/>
      <w:r w:rsidRPr="0010174F">
        <w:rPr>
          <w:i/>
          <w:iCs/>
        </w:rPr>
        <w:t>gruppirovka</w:t>
      </w:r>
      <w:proofErr w:type="spellEnd"/>
      <w:r>
        <w:t xml:space="preserve"> supports the actor </w:t>
      </w:r>
      <w:r w:rsidR="00D2180A">
        <w:t xml:space="preserve">in </w:t>
      </w:r>
      <w:r>
        <w:t xml:space="preserve">the training, most notably when they come to play </w:t>
      </w:r>
      <w:r w:rsidR="005E1A91">
        <w:t xml:space="preserve">the </w:t>
      </w:r>
      <w:r>
        <w:t xml:space="preserve">Biomechanical </w:t>
      </w:r>
      <w:r w:rsidR="005E1A91" w:rsidRPr="0010174F">
        <w:rPr>
          <w:i/>
          <w:iCs/>
        </w:rPr>
        <w:t>études</w:t>
      </w:r>
      <w:r>
        <w:t xml:space="preserve">, </w:t>
      </w:r>
      <w:r w:rsidR="005E1A91">
        <w:t>particular</w:t>
      </w:r>
      <w:r w:rsidR="00CB0D10">
        <w:t>ly</w:t>
      </w:r>
      <w:r w:rsidR="005E1A91">
        <w:t xml:space="preserve"> the sections </w:t>
      </w:r>
      <w:r>
        <w:t xml:space="preserve">in </w:t>
      </w:r>
      <w:r w:rsidR="009F62A3">
        <w:t>the</w:t>
      </w:r>
      <w:r w:rsidR="00D2180A">
        <w:t xml:space="preserve"> </w:t>
      </w:r>
      <w:r w:rsidR="00D2180A" w:rsidRPr="009F62A3">
        <w:rPr>
          <w:i/>
          <w:iCs/>
        </w:rPr>
        <w:t>étude</w:t>
      </w:r>
      <w:r w:rsidR="009F62A3">
        <w:rPr>
          <w:i/>
          <w:iCs/>
        </w:rPr>
        <w:t>s</w:t>
      </w:r>
      <w:r w:rsidR="00D2180A">
        <w:t xml:space="preserve"> </w:t>
      </w:r>
      <w:r>
        <w:t xml:space="preserve">when </w:t>
      </w:r>
      <w:r w:rsidR="005E1A91">
        <w:t xml:space="preserve">the actor is forced to adopt strenuous positions </w:t>
      </w:r>
      <w:r w:rsidR="009F62A3">
        <w:t xml:space="preserve">(such as when </w:t>
      </w:r>
      <w:r w:rsidR="005E1A91">
        <w:t>the</w:t>
      </w:r>
      <w:r>
        <w:t>ir</w:t>
      </w:r>
      <w:r w:rsidR="005E1A91">
        <w:t xml:space="preserve"> back is curved</w:t>
      </w:r>
      <w:r w:rsidR="009F62A3">
        <w:t>)</w:t>
      </w:r>
      <w:r w:rsidR="00CB0D10">
        <w:t>,</w:t>
      </w:r>
      <w:r w:rsidR="005E1A91">
        <w:t xml:space="preserve"> or </w:t>
      </w:r>
      <w:r w:rsidR="00D2180A">
        <w:t>wh</w:t>
      </w:r>
      <w:r>
        <w:t>en</w:t>
      </w:r>
      <w:r w:rsidR="00D2180A">
        <w:t xml:space="preserve"> </w:t>
      </w:r>
      <w:r w:rsidR="005E1A91">
        <w:t>the actor support</w:t>
      </w:r>
      <w:r>
        <w:t>s</w:t>
      </w:r>
      <w:r w:rsidR="005E1A91">
        <w:t xml:space="preserve"> themselves </w:t>
      </w:r>
      <w:r w:rsidR="00D2180A">
        <w:t>as they move towards and away from the ground</w:t>
      </w:r>
      <w:r w:rsidR="005E1A91">
        <w:t>. In this way,</w:t>
      </w:r>
      <w:r w:rsidR="00D10320">
        <w:t xml:space="preserve"> the </w:t>
      </w:r>
      <w:r w:rsidR="00AE08B9">
        <w:t xml:space="preserve">actor is encouraged to </w:t>
      </w:r>
      <w:r w:rsidR="00D10320">
        <w:t xml:space="preserve">use </w:t>
      </w:r>
      <w:proofErr w:type="spellStart"/>
      <w:r w:rsidR="005E1A91" w:rsidRPr="00D10320">
        <w:rPr>
          <w:i/>
          <w:iCs/>
        </w:rPr>
        <w:t>gruppirovka</w:t>
      </w:r>
      <w:proofErr w:type="spellEnd"/>
      <w:r w:rsidR="005E1A91">
        <w:t xml:space="preserve"> </w:t>
      </w:r>
      <w:r w:rsidR="00AE08B9">
        <w:t xml:space="preserve">to physically </w:t>
      </w:r>
      <w:r w:rsidR="005E1A91">
        <w:t>support themselves</w:t>
      </w:r>
      <w:r>
        <w:t xml:space="preserve"> in </w:t>
      </w:r>
      <w:proofErr w:type="gramStart"/>
      <w:r w:rsidR="00AE08B9">
        <w:t>all of</w:t>
      </w:r>
      <w:proofErr w:type="gramEnd"/>
      <w:r w:rsidR="00AE08B9">
        <w:t xml:space="preserve"> their </w:t>
      </w:r>
      <w:r>
        <w:t>action</w:t>
      </w:r>
      <w:r w:rsidR="00AE08B9">
        <w:t>s on stage</w:t>
      </w:r>
      <w:r w:rsidR="00D2180A">
        <w:t xml:space="preserve">. </w:t>
      </w:r>
    </w:p>
    <w:p w14:paraId="41EE8F2E" w14:textId="77777777" w:rsidR="00AE08B9" w:rsidRDefault="00AE08B9"/>
    <w:p w14:paraId="0235B0F1" w14:textId="179038B0" w:rsidR="006D34C6" w:rsidRDefault="00AE08B9">
      <w:r>
        <w:t xml:space="preserve">If the </w:t>
      </w:r>
      <w:proofErr w:type="spellStart"/>
      <w:r w:rsidR="0010174F" w:rsidRPr="0010174F">
        <w:rPr>
          <w:i/>
          <w:iCs/>
        </w:rPr>
        <w:t>gruppirovka</w:t>
      </w:r>
      <w:proofErr w:type="spellEnd"/>
      <w:r w:rsidR="00D2180A">
        <w:t xml:space="preserve"> </w:t>
      </w:r>
      <w:r>
        <w:t xml:space="preserve">is utilised in this way, </w:t>
      </w:r>
      <w:r w:rsidR="00D2180A">
        <w:t xml:space="preserve">the actor </w:t>
      </w:r>
      <w:proofErr w:type="gramStart"/>
      <w:r>
        <w:t>is able to</w:t>
      </w:r>
      <w:proofErr w:type="gramEnd"/>
      <w:r>
        <w:t xml:space="preserve"> </w:t>
      </w:r>
      <w:r w:rsidR="00D10320">
        <w:t xml:space="preserve">allow </w:t>
      </w:r>
      <w:r w:rsidR="005E1A91">
        <w:t>the movement of the</w:t>
      </w:r>
      <w:r w:rsidR="00D2180A">
        <w:t>ir</w:t>
      </w:r>
      <w:r w:rsidR="005E1A91">
        <w:t xml:space="preserve"> legs and arms </w:t>
      </w:r>
      <w:r w:rsidR="00D2180A">
        <w:t xml:space="preserve">to become </w:t>
      </w:r>
      <w:r w:rsidR="005E1A91">
        <w:t xml:space="preserve">light and </w:t>
      </w:r>
      <w:r w:rsidR="00D2180A">
        <w:t>easy</w:t>
      </w:r>
      <w:r>
        <w:t xml:space="preserve"> giving them the capacity to work playfully and with a fully embodied physicality.</w:t>
      </w:r>
      <w:r w:rsidR="005E1A91">
        <w:t xml:space="preserve"> </w:t>
      </w:r>
      <w:r>
        <w:t>T</w:t>
      </w:r>
      <w:r w:rsidR="005E1A91">
        <w:t xml:space="preserve">he </w:t>
      </w:r>
      <w:r w:rsidR="005E1A91" w:rsidRPr="009F62A3">
        <w:rPr>
          <w:i/>
          <w:iCs/>
        </w:rPr>
        <w:t>dactyl</w:t>
      </w:r>
      <w:r w:rsidR="005E1A91">
        <w:t xml:space="preserve"> </w:t>
      </w:r>
      <w:r w:rsidR="00D10320">
        <w:t xml:space="preserve">(through copious repetition) </w:t>
      </w:r>
      <w:r>
        <w:t xml:space="preserve">supports this process as it </w:t>
      </w:r>
      <w:r w:rsidR="005E1A91">
        <w:t>encourage</w:t>
      </w:r>
      <w:r>
        <w:t>s</w:t>
      </w:r>
      <w:r w:rsidR="005E1A91">
        <w:t xml:space="preserve"> </w:t>
      </w:r>
      <w:r w:rsidR="00D10320">
        <w:t xml:space="preserve">the performer to find a sense of ease in the swing of the arms, the springiness of the legs, and the robustness of the clapping. The actor </w:t>
      </w:r>
      <w:proofErr w:type="gramStart"/>
      <w:r w:rsidR="00D10320">
        <w:t>has to</w:t>
      </w:r>
      <w:proofErr w:type="gramEnd"/>
      <w:r w:rsidR="00D10320">
        <w:t xml:space="preserve"> both ‘tense-up’ but also be at ease</w:t>
      </w:r>
      <w:r>
        <w:t>, and the dactyl facilitates this development by asking the</w:t>
      </w:r>
      <w:r w:rsidR="009F62A3">
        <w:t xml:space="preserve"> actor to shift between tensing and easing different body parts rapidly. </w:t>
      </w:r>
      <w:r>
        <w:t xml:space="preserve"> </w:t>
      </w:r>
    </w:p>
    <w:p w14:paraId="6A429FB6" w14:textId="77777777" w:rsidR="00973CD6" w:rsidRDefault="00973CD6"/>
    <w:p w14:paraId="179E0A79" w14:textId="3808D039" w:rsidR="00A548E1" w:rsidRDefault="00973CD6">
      <w:r>
        <w:t>This quality of being both ‘tensed-up’ and at ‘ease’ extends to the ways in which the actor needs to be able to relate to the rest of their ensemble</w:t>
      </w:r>
      <w:r w:rsidR="005F5C43">
        <w:t xml:space="preserve"> when executing the </w:t>
      </w:r>
      <w:r w:rsidR="005F5C43" w:rsidRPr="005F5C43">
        <w:rPr>
          <w:i/>
          <w:iCs/>
        </w:rPr>
        <w:t>dactyl</w:t>
      </w:r>
      <w:r>
        <w:t xml:space="preserve">: attending to their stage partners </w:t>
      </w:r>
      <w:r w:rsidR="005F5C43">
        <w:t xml:space="preserve">whilst </w:t>
      </w:r>
      <w:r>
        <w:t xml:space="preserve">also being able to </w:t>
      </w:r>
      <w:r w:rsidR="00440260">
        <w:t xml:space="preserve">move freely around </w:t>
      </w:r>
      <w:r w:rsidR="00906769">
        <w:t xml:space="preserve">and with </w:t>
      </w:r>
      <w:r w:rsidR="00440260">
        <w:t xml:space="preserve">them. Work on this begins with the execution of the </w:t>
      </w:r>
      <w:r w:rsidR="00440260" w:rsidRPr="005F5C43">
        <w:rPr>
          <w:i/>
          <w:iCs/>
        </w:rPr>
        <w:t>dactyl</w:t>
      </w:r>
      <w:r w:rsidR="00440260">
        <w:t xml:space="preserve"> in pairs or as a whole group</w:t>
      </w:r>
      <w:r w:rsidR="00CB0D10">
        <w:t xml:space="preserve">, with the actor encouraged to </w:t>
      </w:r>
      <w:r w:rsidR="00B8306D">
        <w:t xml:space="preserve">attend </w:t>
      </w:r>
      <w:r w:rsidR="00CB0D10">
        <w:t xml:space="preserve">simultaneously to </w:t>
      </w:r>
      <w:r w:rsidR="00A548E1">
        <w:t xml:space="preserve">the rhythm </w:t>
      </w:r>
      <w:r w:rsidR="00CB0D10">
        <w:t xml:space="preserve">of the </w:t>
      </w:r>
      <w:r w:rsidR="00CB0D10" w:rsidRPr="00CB0D10">
        <w:rPr>
          <w:i/>
          <w:iCs/>
        </w:rPr>
        <w:t>dactyl</w:t>
      </w:r>
      <w:r w:rsidR="00CB0D10">
        <w:t xml:space="preserve"> and </w:t>
      </w:r>
      <w:r w:rsidR="00B8306D">
        <w:t>to their partners</w:t>
      </w:r>
      <w:r w:rsidR="00440260">
        <w:t>.</w:t>
      </w:r>
      <w:r w:rsidR="00B8306D">
        <w:t xml:space="preserve"> Within the </w:t>
      </w:r>
      <w:r w:rsidR="00B8306D" w:rsidRPr="009218C0">
        <w:rPr>
          <w:i/>
          <w:iCs/>
        </w:rPr>
        <w:t>dactyl</w:t>
      </w:r>
      <w:r w:rsidR="00B8306D">
        <w:t xml:space="preserve">, this is explicitly </w:t>
      </w:r>
      <w:r w:rsidR="003B4132">
        <w:t xml:space="preserve">stressed by the instruction to </w:t>
      </w:r>
      <w:r w:rsidR="00B8306D">
        <w:t xml:space="preserve">look at the stage partner when the actor’s eye line passes through the horizontal. This is initially challenging to achieve (as the actor’s mental load is predominantly concerned with accurately coordinating the different movements of the dactyl). However, as the actor moves towards unconscious competence </w:t>
      </w:r>
      <w:r w:rsidR="005F0E38">
        <w:t xml:space="preserve">in performing </w:t>
      </w:r>
      <w:r w:rsidR="00B8306D">
        <w:t xml:space="preserve">the </w:t>
      </w:r>
      <w:r w:rsidR="00B8306D" w:rsidRPr="001B156C">
        <w:rPr>
          <w:i/>
          <w:iCs/>
        </w:rPr>
        <w:t>dactyl</w:t>
      </w:r>
      <w:r w:rsidR="00B8306D">
        <w:t xml:space="preserve"> they can begin to relocate their attention to the</w:t>
      </w:r>
      <w:r w:rsidR="001B156C">
        <w:t>ir</w:t>
      </w:r>
      <w:r w:rsidR="00B8306D">
        <w:t xml:space="preserve"> stage partners</w:t>
      </w:r>
      <w:r w:rsidR="001B156C">
        <w:t xml:space="preserve"> and the space around them</w:t>
      </w:r>
      <w:r w:rsidR="00B8306D">
        <w:t>.</w:t>
      </w:r>
      <w:r w:rsidR="00A548E1">
        <w:t xml:space="preserve"> In doing so their attention starts to shift away from </w:t>
      </w:r>
      <w:r w:rsidR="008B712D">
        <w:t xml:space="preserve">their personal </w:t>
      </w:r>
      <w:proofErr w:type="spellStart"/>
      <w:r w:rsidR="008B712D" w:rsidRPr="008B712D">
        <w:rPr>
          <w:i/>
          <w:iCs/>
        </w:rPr>
        <w:t>gruppirovka</w:t>
      </w:r>
      <w:proofErr w:type="spellEnd"/>
      <w:r w:rsidR="008B712D">
        <w:t xml:space="preserve"> and the idea of them </w:t>
      </w:r>
      <w:r w:rsidR="00A548E1">
        <w:t>themselves as the centre of the action, to the other centres in the room</w:t>
      </w:r>
      <w:r w:rsidR="002E33BB">
        <w:t>,</w:t>
      </w:r>
      <w:r w:rsidR="00A548E1">
        <w:t xml:space="preserve"> and thus they can begin to explore the </w:t>
      </w:r>
      <w:proofErr w:type="spellStart"/>
      <w:r w:rsidR="00A548E1" w:rsidRPr="00A548E1">
        <w:rPr>
          <w:i/>
          <w:iCs/>
        </w:rPr>
        <w:t>gruppirovka</w:t>
      </w:r>
      <w:proofErr w:type="spellEnd"/>
      <w:r w:rsidR="00A548E1">
        <w:t xml:space="preserve"> of the ensemble. But that is a topic for another </w:t>
      </w:r>
      <w:proofErr w:type="spellStart"/>
      <w:r w:rsidR="00A548E1" w:rsidRPr="00A548E1">
        <w:rPr>
          <w:i/>
          <w:iCs/>
        </w:rPr>
        <w:t>essai</w:t>
      </w:r>
      <w:proofErr w:type="spellEnd"/>
      <w:r w:rsidR="00A548E1">
        <w:t>.</w:t>
      </w:r>
    </w:p>
    <w:p w14:paraId="07DFE54A" w14:textId="77777777" w:rsidR="00973CD6" w:rsidRDefault="00973CD6"/>
    <w:p w14:paraId="68B0892F" w14:textId="77777777" w:rsidR="006D34C6" w:rsidRDefault="006D34C6"/>
    <w:p w14:paraId="35EAD31C" w14:textId="3373F84B" w:rsidR="001D1EDE" w:rsidRPr="00D23DBF" w:rsidRDefault="001D1EDE" w:rsidP="00544E2C"/>
    <w:sectPr w:rsidR="001D1EDE" w:rsidRPr="00D23DBF" w:rsidSect="001761CD">
      <w:pgSz w:w="11900" w:h="16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87E6A" w14:textId="77777777" w:rsidR="00C00458" w:rsidRDefault="00C00458" w:rsidP="00CA3BCF">
      <w:r>
        <w:separator/>
      </w:r>
    </w:p>
  </w:endnote>
  <w:endnote w:type="continuationSeparator" w:id="0">
    <w:p w14:paraId="0007E8AD" w14:textId="77777777" w:rsidR="00C00458" w:rsidRDefault="00C00458" w:rsidP="00CA3B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Aptos Display">
    <w:panose1 w:val="020B0004020202020204"/>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8C14BF3" w14:textId="77777777" w:rsidR="00C00458" w:rsidRDefault="00C00458" w:rsidP="00CA3BCF">
      <w:r>
        <w:separator/>
      </w:r>
    </w:p>
  </w:footnote>
  <w:footnote w:type="continuationSeparator" w:id="0">
    <w:p w14:paraId="247CCFB8" w14:textId="77777777" w:rsidR="00C00458" w:rsidRDefault="00C00458" w:rsidP="00CA3BCF">
      <w:r>
        <w:continuationSeparator/>
      </w:r>
    </w:p>
  </w:footnote>
  <w:footnote w:id="1">
    <w:p w14:paraId="52ACB34D" w14:textId="5B473A3E" w:rsidR="00CA3BCF" w:rsidRDefault="00CA3BCF">
      <w:pPr>
        <w:pStyle w:val="FootnoteText"/>
      </w:pPr>
      <w:r>
        <w:rPr>
          <w:rStyle w:val="FootnoteReference"/>
        </w:rPr>
        <w:footnoteRef/>
      </w:r>
      <w:r>
        <w:t xml:space="preserve"> see Pitches, J (2003) Meyerhold. London: Routledge p141 and Leech, R (1993) </w:t>
      </w:r>
      <w:proofErr w:type="spellStart"/>
      <w:r>
        <w:t>Vsevelod</w:t>
      </w:r>
      <w:proofErr w:type="spellEnd"/>
      <w:r>
        <w:t xml:space="preserve"> Meyerhold. Cambridge: CUP, pp 61-62.</w:t>
      </w:r>
    </w:p>
  </w:footnote>
  <w:footnote w:id="2">
    <w:p w14:paraId="54127DF1" w14:textId="77777777" w:rsidR="00C93DA3" w:rsidRDefault="00C93DA3" w:rsidP="00C93DA3">
      <w:pPr>
        <w:pStyle w:val="FootnoteText"/>
      </w:pPr>
      <w:r>
        <w:rPr>
          <w:rStyle w:val="FootnoteReference"/>
        </w:rPr>
        <w:footnoteRef/>
      </w:r>
      <w:r>
        <w:t xml:space="preserve"> The études are a series of short, increasingly complex, choreographed sequences that apply the principles of Theatrical Biomechanics to short dramaturgical actions, with titles such as Throwing the stone, The Slap in the Face, Leap on the Chest. </w:t>
      </w:r>
    </w:p>
  </w:footnote>
  <w:footnote w:id="3">
    <w:p w14:paraId="23377B1B" w14:textId="77777777" w:rsidR="0010174F" w:rsidRDefault="0010174F" w:rsidP="0010174F">
      <w:pPr>
        <w:pStyle w:val="FootnoteText"/>
      </w:pPr>
      <w:r>
        <w:rPr>
          <w:rStyle w:val="FootnoteReference"/>
        </w:rPr>
        <w:footnoteRef/>
      </w:r>
      <w:r>
        <w:t xml:space="preserve"> see </w:t>
      </w:r>
      <w:proofErr w:type="spellStart"/>
      <w:r>
        <w:t>Korenev</w:t>
      </w:r>
      <w:proofErr w:type="spellEnd"/>
      <w:r>
        <w:t xml:space="preserve">, M in </w:t>
      </w:r>
      <w:r w:rsidRPr="001D1EDE">
        <w:t xml:space="preserve">Law, A. and Gordon, M. (1996) </w:t>
      </w:r>
      <w:r w:rsidRPr="001D1EDE">
        <w:rPr>
          <w:i/>
          <w:iCs/>
        </w:rPr>
        <w:t>Meyerhold, Eisenstein, and Biomechanics</w:t>
      </w:r>
      <w:r w:rsidRPr="001D1EDE">
        <w:t>. Jefferson: McFarland</w:t>
      </w:r>
      <w:r>
        <w:t>. p138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652BB9"/>
    <w:multiLevelType w:val="hybridMultilevel"/>
    <w:tmpl w:val="F33022B0"/>
    <w:lvl w:ilvl="0" w:tplc="6ED08F9C">
      <w:numFmt w:val="bullet"/>
      <w:lvlText w:val="-"/>
      <w:lvlJc w:val="left"/>
      <w:pPr>
        <w:ind w:left="720" w:hanging="360"/>
      </w:pPr>
      <w:rPr>
        <w:rFonts w:ascii="Aptos" w:eastAsiaTheme="minorHAnsi" w:hAnsi="Apto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7850AB5"/>
    <w:multiLevelType w:val="hybridMultilevel"/>
    <w:tmpl w:val="08CCEA50"/>
    <w:lvl w:ilvl="0" w:tplc="7C287FD8">
      <w:start w:val="5"/>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47050057">
    <w:abstractNumId w:val="1"/>
  </w:num>
  <w:num w:numId="2" w16cid:durableId="20921180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3DBF"/>
    <w:rsid w:val="0010174F"/>
    <w:rsid w:val="001476D8"/>
    <w:rsid w:val="001761CD"/>
    <w:rsid w:val="001B156C"/>
    <w:rsid w:val="001D1EDE"/>
    <w:rsid w:val="001E6C11"/>
    <w:rsid w:val="001F648A"/>
    <w:rsid w:val="002026A8"/>
    <w:rsid w:val="002608B0"/>
    <w:rsid w:val="002620A4"/>
    <w:rsid w:val="0028789A"/>
    <w:rsid w:val="002E33BB"/>
    <w:rsid w:val="00322FB8"/>
    <w:rsid w:val="00371FCC"/>
    <w:rsid w:val="0037520E"/>
    <w:rsid w:val="003B4132"/>
    <w:rsid w:val="00440260"/>
    <w:rsid w:val="00513CAF"/>
    <w:rsid w:val="005168AE"/>
    <w:rsid w:val="00544E2C"/>
    <w:rsid w:val="005778E6"/>
    <w:rsid w:val="005E1A91"/>
    <w:rsid w:val="005E44C8"/>
    <w:rsid w:val="005F0E38"/>
    <w:rsid w:val="005F5C43"/>
    <w:rsid w:val="0060594D"/>
    <w:rsid w:val="006204F5"/>
    <w:rsid w:val="00633DBD"/>
    <w:rsid w:val="006879E6"/>
    <w:rsid w:val="006B090E"/>
    <w:rsid w:val="006D34C6"/>
    <w:rsid w:val="00723124"/>
    <w:rsid w:val="007A0B64"/>
    <w:rsid w:val="007E70D1"/>
    <w:rsid w:val="00827318"/>
    <w:rsid w:val="008A36EF"/>
    <w:rsid w:val="008B712D"/>
    <w:rsid w:val="008F088E"/>
    <w:rsid w:val="00906769"/>
    <w:rsid w:val="009218C0"/>
    <w:rsid w:val="00930E33"/>
    <w:rsid w:val="009369ED"/>
    <w:rsid w:val="00973CD6"/>
    <w:rsid w:val="00991877"/>
    <w:rsid w:val="009C1FAC"/>
    <w:rsid w:val="009F62A3"/>
    <w:rsid w:val="00A230BC"/>
    <w:rsid w:val="00A527A8"/>
    <w:rsid w:val="00A548E1"/>
    <w:rsid w:val="00A9562C"/>
    <w:rsid w:val="00AA282B"/>
    <w:rsid w:val="00AE08B9"/>
    <w:rsid w:val="00B51297"/>
    <w:rsid w:val="00B8306D"/>
    <w:rsid w:val="00C00458"/>
    <w:rsid w:val="00C35695"/>
    <w:rsid w:val="00C60E7B"/>
    <w:rsid w:val="00C93DA3"/>
    <w:rsid w:val="00C96A48"/>
    <w:rsid w:val="00CA3BCF"/>
    <w:rsid w:val="00CB0D10"/>
    <w:rsid w:val="00D10320"/>
    <w:rsid w:val="00D2180A"/>
    <w:rsid w:val="00D23DBF"/>
    <w:rsid w:val="00D928AE"/>
    <w:rsid w:val="00D93AF0"/>
    <w:rsid w:val="00DB0E72"/>
    <w:rsid w:val="00E55887"/>
    <w:rsid w:val="00E66367"/>
    <w:rsid w:val="00EA0F66"/>
    <w:rsid w:val="00F317AF"/>
    <w:rsid w:val="00FB71C6"/>
    <w:rsid w:val="00FC08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EEA787F"/>
  <w15:chartTrackingRefBased/>
  <w15:docId w15:val="{40AAD2AE-C2C8-F246-A88E-E988CB23F7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23DB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D23DB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23DB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23DB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23DB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23DBF"/>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23DBF"/>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23DBF"/>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23DBF"/>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TAHeading1">
    <w:name w:val="ETA Heading 1"/>
    <w:basedOn w:val="Normal"/>
    <w:link w:val="ETAHeading1Char"/>
    <w:autoRedefine/>
    <w:qFormat/>
    <w:rsid w:val="00A230BC"/>
    <w:pPr>
      <w:spacing w:after="200" w:line="276" w:lineRule="auto"/>
      <w:jc w:val="center"/>
    </w:pPr>
    <w:rPr>
      <w:noProof/>
      <w:sz w:val="28"/>
      <w:szCs w:val="28"/>
      <w:u w:val="single"/>
    </w:rPr>
  </w:style>
  <w:style w:type="paragraph" w:customStyle="1" w:styleId="ETAHEADING2">
    <w:name w:val="ETA HEADING 2"/>
    <w:basedOn w:val="Normal"/>
    <w:autoRedefine/>
    <w:qFormat/>
    <w:rsid w:val="00A230BC"/>
    <w:pPr>
      <w:spacing w:after="200" w:line="276" w:lineRule="auto"/>
    </w:pPr>
    <w:rPr>
      <w:b/>
      <w:noProof/>
      <w:sz w:val="22"/>
      <w:szCs w:val="22"/>
    </w:rPr>
  </w:style>
  <w:style w:type="paragraph" w:customStyle="1" w:styleId="ETATEXT2">
    <w:name w:val="ETA TEXT 2"/>
    <w:basedOn w:val="Normal"/>
    <w:autoRedefine/>
    <w:qFormat/>
    <w:rsid w:val="00A230BC"/>
    <w:pPr>
      <w:pBdr>
        <w:top w:val="single" w:sz="4" w:space="1" w:color="auto"/>
        <w:left w:val="single" w:sz="4" w:space="4" w:color="auto"/>
        <w:bottom w:val="single" w:sz="4" w:space="1" w:color="auto"/>
        <w:right w:val="single" w:sz="4" w:space="4" w:color="auto"/>
      </w:pBdr>
      <w:spacing w:after="200" w:line="276" w:lineRule="auto"/>
    </w:pPr>
    <w:rPr>
      <w:i/>
      <w:noProof/>
      <w:szCs w:val="20"/>
    </w:rPr>
  </w:style>
  <w:style w:type="character" w:customStyle="1" w:styleId="ETAHeading1Char">
    <w:name w:val="ETA Heading 1 Char"/>
    <w:basedOn w:val="DefaultParagraphFont"/>
    <w:link w:val="ETAHeading1"/>
    <w:rsid w:val="00A230BC"/>
    <w:rPr>
      <w:noProof/>
      <w:sz w:val="28"/>
      <w:szCs w:val="28"/>
      <w:u w:val="single"/>
    </w:rPr>
  </w:style>
  <w:style w:type="paragraph" w:customStyle="1" w:styleId="ETAHEADING3">
    <w:name w:val="ETA HEADING 3"/>
    <w:basedOn w:val="Normal"/>
    <w:autoRedefine/>
    <w:qFormat/>
    <w:rsid w:val="00A230BC"/>
    <w:pPr>
      <w:pBdr>
        <w:top w:val="single" w:sz="4" w:space="1" w:color="auto"/>
        <w:left w:val="single" w:sz="4" w:space="4" w:color="auto"/>
        <w:bottom w:val="single" w:sz="4" w:space="1" w:color="auto"/>
        <w:right w:val="single" w:sz="4" w:space="4" w:color="auto"/>
      </w:pBdr>
      <w:spacing w:after="200" w:line="276" w:lineRule="auto"/>
    </w:pPr>
    <w:rPr>
      <w:i/>
      <w:noProof/>
      <w:u w:val="single"/>
    </w:rPr>
  </w:style>
  <w:style w:type="paragraph" w:customStyle="1" w:styleId="ETAheading4">
    <w:name w:val="ETA heading 4"/>
    <w:basedOn w:val="ETAHEADING2"/>
    <w:autoRedefine/>
    <w:qFormat/>
    <w:rsid w:val="006B090E"/>
    <w:rPr>
      <w:b w:val="0"/>
      <w:bCs/>
      <w:i/>
      <w:sz w:val="24"/>
    </w:rPr>
  </w:style>
  <w:style w:type="paragraph" w:customStyle="1" w:styleId="ETAHeading40">
    <w:name w:val="ETA Heading 4"/>
    <w:basedOn w:val="Normal"/>
    <w:autoRedefine/>
    <w:qFormat/>
    <w:rsid w:val="001476D8"/>
    <w:rPr>
      <w:rFonts w:cstheme="minorHAnsi"/>
      <w:i/>
      <w:iCs/>
    </w:rPr>
  </w:style>
  <w:style w:type="character" w:customStyle="1" w:styleId="Heading1Char">
    <w:name w:val="Heading 1 Char"/>
    <w:basedOn w:val="DefaultParagraphFont"/>
    <w:link w:val="Heading1"/>
    <w:uiPriority w:val="9"/>
    <w:rsid w:val="00D23DB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D23DB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23DB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23DB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23DB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23DB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23DB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23DB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23DBF"/>
    <w:rPr>
      <w:rFonts w:eastAsiaTheme="majorEastAsia" w:cstheme="majorBidi"/>
      <w:color w:val="272727" w:themeColor="text1" w:themeTint="D8"/>
    </w:rPr>
  </w:style>
  <w:style w:type="paragraph" w:styleId="Title">
    <w:name w:val="Title"/>
    <w:basedOn w:val="Normal"/>
    <w:next w:val="Normal"/>
    <w:link w:val="TitleChar"/>
    <w:uiPriority w:val="10"/>
    <w:qFormat/>
    <w:rsid w:val="00D23DBF"/>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23DB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23DB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23DB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23DB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D23DBF"/>
    <w:rPr>
      <w:i/>
      <w:iCs/>
      <w:color w:val="404040" w:themeColor="text1" w:themeTint="BF"/>
    </w:rPr>
  </w:style>
  <w:style w:type="paragraph" w:styleId="ListParagraph">
    <w:name w:val="List Paragraph"/>
    <w:basedOn w:val="Normal"/>
    <w:uiPriority w:val="34"/>
    <w:qFormat/>
    <w:rsid w:val="00D23DBF"/>
    <w:pPr>
      <w:ind w:left="720"/>
      <w:contextualSpacing/>
    </w:pPr>
  </w:style>
  <w:style w:type="character" w:styleId="IntenseEmphasis">
    <w:name w:val="Intense Emphasis"/>
    <w:basedOn w:val="DefaultParagraphFont"/>
    <w:uiPriority w:val="21"/>
    <w:qFormat/>
    <w:rsid w:val="00D23DBF"/>
    <w:rPr>
      <w:i/>
      <w:iCs/>
      <w:color w:val="0F4761" w:themeColor="accent1" w:themeShade="BF"/>
    </w:rPr>
  </w:style>
  <w:style w:type="paragraph" w:styleId="IntenseQuote">
    <w:name w:val="Intense Quote"/>
    <w:basedOn w:val="Normal"/>
    <w:next w:val="Normal"/>
    <w:link w:val="IntenseQuoteChar"/>
    <w:uiPriority w:val="30"/>
    <w:qFormat/>
    <w:rsid w:val="00D23DB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23DBF"/>
    <w:rPr>
      <w:i/>
      <w:iCs/>
      <w:color w:val="0F4761" w:themeColor="accent1" w:themeShade="BF"/>
    </w:rPr>
  </w:style>
  <w:style w:type="character" w:styleId="IntenseReference">
    <w:name w:val="Intense Reference"/>
    <w:basedOn w:val="DefaultParagraphFont"/>
    <w:uiPriority w:val="32"/>
    <w:qFormat/>
    <w:rsid w:val="00D23DBF"/>
    <w:rPr>
      <w:b/>
      <w:bCs/>
      <w:smallCaps/>
      <w:color w:val="0F4761" w:themeColor="accent1" w:themeShade="BF"/>
      <w:spacing w:val="5"/>
    </w:rPr>
  </w:style>
  <w:style w:type="character" w:styleId="Hyperlink">
    <w:name w:val="Hyperlink"/>
    <w:basedOn w:val="DefaultParagraphFont"/>
    <w:uiPriority w:val="99"/>
    <w:unhideWhenUsed/>
    <w:rsid w:val="00B51297"/>
    <w:rPr>
      <w:color w:val="467886" w:themeColor="hyperlink"/>
      <w:u w:val="single"/>
    </w:rPr>
  </w:style>
  <w:style w:type="character" w:styleId="UnresolvedMention">
    <w:name w:val="Unresolved Mention"/>
    <w:basedOn w:val="DefaultParagraphFont"/>
    <w:uiPriority w:val="99"/>
    <w:semiHidden/>
    <w:unhideWhenUsed/>
    <w:rsid w:val="00B51297"/>
    <w:rPr>
      <w:color w:val="605E5C"/>
      <w:shd w:val="clear" w:color="auto" w:fill="E1DFDD"/>
    </w:rPr>
  </w:style>
  <w:style w:type="paragraph" w:styleId="Revision">
    <w:name w:val="Revision"/>
    <w:hidden/>
    <w:uiPriority w:val="99"/>
    <w:semiHidden/>
    <w:rsid w:val="00F317AF"/>
  </w:style>
  <w:style w:type="character" w:styleId="CommentReference">
    <w:name w:val="annotation reference"/>
    <w:basedOn w:val="DefaultParagraphFont"/>
    <w:uiPriority w:val="99"/>
    <w:semiHidden/>
    <w:unhideWhenUsed/>
    <w:rsid w:val="005E44C8"/>
    <w:rPr>
      <w:sz w:val="16"/>
      <w:szCs w:val="16"/>
    </w:rPr>
  </w:style>
  <w:style w:type="paragraph" w:styleId="CommentText">
    <w:name w:val="annotation text"/>
    <w:basedOn w:val="Normal"/>
    <w:link w:val="CommentTextChar"/>
    <w:uiPriority w:val="99"/>
    <w:semiHidden/>
    <w:unhideWhenUsed/>
    <w:rsid w:val="005E44C8"/>
    <w:rPr>
      <w:sz w:val="20"/>
      <w:szCs w:val="20"/>
    </w:rPr>
  </w:style>
  <w:style w:type="character" w:customStyle="1" w:styleId="CommentTextChar">
    <w:name w:val="Comment Text Char"/>
    <w:basedOn w:val="DefaultParagraphFont"/>
    <w:link w:val="CommentText"/>
    <w:uiPriority w:val="99"/>
    <w:semiHidden/>
    <w:rsid w:val="005E44C8"/>
    <w:rPr>
      <w:sz w:val="20"/>
      <w:szCs w:val="20"/>
    </w:rPr>
  </w:style>
  <w:style w:type="paragraph" w:styleId="CommentSubject">
    <w:name w:val="annotation subject"/>
    <w:basedOn w:val="CommentText"/>
    <w:next w:val="CommentText"/>
    <w:link w:val="CommentSubjectChar"/>
    <w:uiPriority w:val="99"/>
    <w:semiHidden/>
    <w:unhideWhenUsed/>
    <w:rsid w:val="005E44C8"/>
    <w:rPr>
      <w:b/>
      <w:bCs/>
    </w:rPr>
  </w:style>
  <w:style w:type="character" w:customStyle="1" w:styleId="CommentSubjectChar">
    <w:name w:val="Comment Subject Char"/>
    <w:basedOn w:val="CommentTextChar"/>
    <w:link w:val="CommentSubject"/>
    <w:uiPriority w:val="99"/>
    <w:semiHidden/>
    <w:rsid w:val="005E44C8"/>
    <w:rPr>
      <w:b/>
      <w:bCs/>
      <w:sz w:val="20"/>
      <w:szCs w:val="20"/>
    </w:rPr>
  </w:style>
  <w:style w:type="paragraph" w:styleId="FootnoteText">
    <w:name w:val="footnote text"/>
    <w:basedOn w:val="Normal"/>
    <w:link w:val="FootnoteTextChar"/>
    <w:uiPriority w:val="99"/>
    <w:semiHidden/>
    <w:unhideWhenUsed/>
    <w:rsid w:val="00CA3BCF"/>
    <w:rPr>
      <w:sz w:val="20"/>
      <w:szCs w:val="20"/>
    </w:rPr>
  </w:style>
  <w:style w:type="character" w:customStyle="1" w:styleId="FootnoteTextChar">
    <w:name w:val="Footnote Text Char"/>
    <w:basedOn w:val="DefaultParagraphFont"/>
    <w:link w:val="FootnoteText"/>
    <w:uiPriority w:val="99"/>
    <w:semiHidden/>
    <w:rsid w:val="00CA3BCF"/>
    <w:rPr>
      <w:sz w:val="20"/>
      <w:szCs w:val="20"/>
    </w:rPr>
  </w:style>
  <w:style w:type="character" w:styleId="FootnoteReference">
    <w:name w:val="footnote reference"/>
    <w:basedOn w:val="DefaultParagraphFont"/>
    <w:uiPriority w:val="99"/>
    <w:semiHidden/>
    <w:unhideWhenUsed/>
    <w:rsid w:val="00CA3BC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youtu.be/XrkB_rcQNzM?si=M5oBXWIizarz3Gqz"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BC339-F84D-F94E-836F-70079D65CC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285</TotalTime>
  <Pages>3</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Thomas Wilson</dc:creator>
  <cp:keywords/>
  <dc:description/>
  <cp:lastModifiedBy>Thomas Wilson</cp:lastModifiedBy>
  <cp:revision>55</cp:revision>
  <dcterms:created xsi:type="dcterms:W3CDTF">2024-07-26T12:52:00Z</dcterms:created>
  <dcterms:modified xsi:type="dcterms:W3CDTF">2025-02-04T13:06:00Z</dcterms:modified>
</cp:coreProperties>
</file>